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B6855" w14:textId="0FF9ACFC" w:rsidR="00AA7A6A" w:rsidRPr="00DC177A" w:rsidRDefault="0055153E" w:rsidP="00AA7A6A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Community Living Case Study #2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 xml:space="preserve"> – AT Category: </w:t>
      </w:r>
      <w:r>
        <w:rPr>
          <w:rFonts w:ascii="Arial" w:hAnsi="Arial" w:cs="Arial"/>
          <w:b/>
          <w:bCs/>
          <w:sz w:val="32"/>
          <w:szCs w:val="32"/>
        </w:rPr>
        <w:t xml:space="preserve">Reading 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>(</w:t>
      </w:r>
      <w:r w:rsidR="00AA7A6A">
        <w:rPr>
          <w:rFonts w:ascii="Arial" w:hAnsi="Arial" w:cs="Arial"/>
          <w:b/>
          <w:bCs/>
          <w:sz w:val="32"/>
          <w:szCs w:val="32"/>
        </w:rPr>
        <w:t>HAAT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48ECBB9D" w14:textId="209DA04C" w:rsidR="0055153E" w:rsidRPr="00DC177A" w:rsidRDefault="00AA7A6A" w:rsidP="00B252DB">
      <w:pPr>
        <w:pStyle w:val="NormalWeb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 w:rsidR="0055153E">
        <w:rPr>
          <w:rFonts w:ascii="Arial" w:hAnsi="Arial" w:cs="Arial"/>
          <w:sz w:val="28"/>
        </w:rPr>
        <w:t xml:space="preserve"> </w:t>
      </w:r>
      <w:r w:rsidR="00715456" w:rsidRPr="0055153E">
        <w:rPr>
          <w:rFonts w:ascii="Arial" w:hAnsi="Arial" w:cs="Arial"/>
        </w:rPr>
        <w:t>Older adult with signs of possible dyslexia</w:t>
      </w:r>
      <w:r w:rsidR="00715456">
        <w:rPr>
          <w:rFonts w:ascii="Arial" w:hAnsi="Arial" w:cs="Arial"/>
        </w:rPr>
        <w:t xml:space="preserve"> (slow reading pace, unrecognizable words, difficult to understand the purpose of the text, avoids reading).</w:t>
      </w:r>
      <w:r w:rsidR="00715456">
        <w:rPr>
          <w:rFonts w:ascii="Arial" w:hAnsi="Arial" w:cs="Arial"/>
          <w:color w:val="636363"/>
          <w:sz w:val="21"/>
          <w:szCs w:val="21"/>
        </w:rPr>
        <w:t> </w:t>
      </w:r>
      <w:r w:rsidR="00B252DB">
        <w:rPr>
          <w:rFonts w:ascii="Arial" w:hAnsi="Arial" w:cs="Arial"/>
          <w:color w:val="636363"/>
          <w:sz w:val="21"/>
          <w:szCs w:val="21"/>
        </w:rPr>
        <w:br/>
      </w: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</w:t>
      </w:r>
      <w:r w:rsidR="0006607C">
        <w:rPr>
          <w:rFonts w:ascii="Arial" w:hAnsi="Arial" w:cs="Arial"/>
        </w:rPr>
        <w:t xml:space="preserve"> a neighbor recognizes characteristics of dyslexia in the individual as he explains his difficulty reading.</w:t>
      </w:r>
      <w:r w:rsidR="0055153E" w:rsidRPr="0055153E">
        <w:rPr>
          <w:rFonts w:ascii="Arial" w:hAnsi="Arial" w:cs="Arial"/>
        </w:rPr>
        <w:t xml:space="preserve">  She describes how he can listen to books and newspapers through various digital files and device</w:t>
      </w:r>
      <w:r w:rsidR="0006607C">
        <w:rPr>
          <w:rFonts w:ascii="Arial" w:hAnsi="Arial" w:cs="Arial"/>
        </w:rPr>
        <w:t xml:space="preserve">s including his </w:t>
      </w:r>
      <w:r w:rsidR="0055153E">
        <w:rPr>
          <w:rFonts w:ascii="Arial" w:hAnsi="Arial" w:cs="Arial"/>
        </w:rPr>
        <w:t>smartphone computer at home.</w:t>
      </w:r>
    </w:p>
    <w:p w14:paraId="2BF61321" w14:textId="3CDD6213" w:rsidR="00AA7A6A" w:rsidRPr="00DC177A" w:rsidRDefault="00AA7A6A" w:rsidP="00AA7A6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</w:rPr>
        <w:t>Assistive Technology</w:t>
      </w:r>
    </w:p>
    <w:p w14:paraId="1A4897C8" w14:textId="0BDEC0A2" w:rsidR="00AA7A6A" w:rsidRPr="00DC177A" w:rsidRDefault="00AA7A6A" w:rsidP="00AA7A6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Pr="00DC177A">
        <w:rPr>
          <w:rFonts w:ascii="Arial" w:hAnsi="Arial" w:cs="Arial"/>
          <w:b/>
          <w:sz w:val="32"/>
        </w:rPr>
        <w:t>-Tech</w:t>
      </w:r>
    </w:p>
    <w:p w14:paraId="6DF38F5F" w14:textId="2702AA18" w:rsidR="00AA7A6A" w:rsidRPr="00D335B3" w:rsidRDefault="00AA7A6A" w:rsidP="00D335B3">
      <w:pPr>
        <w:jc w:val="center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</w:rPr>
        <w:tab/>
      </w:r>
      <w:r w:rsidR="00716CFF" w:rsidRPr="00716CFF">
        <w:rPr>
          <w:rFonts w:ascii="Arial" w:hAnsi="Arial" w:cs="Arial"/>
          <w:b/>
          <w:noProof/>
          <w:color w:val="5F497A" w:themeColor="accent4" w:themeShade="BF"/>
          <w:sz w:val="22"/>
          <w:szCs w:val="22"/>
        </w:rPr>
        <w:t>Library books on CD – Learning Ally -</w:t>
      </w:r>
      <w:r w:rsidR="00716CFF">
        <w:rPr>
          <w:rFonts w:ascii="Arial" w:hAnsi="Arial" w:cs="Arial"/>
          <w:noProof/>
        </w:rPr>
        <w:t xml:space="preserve"> </w:t>
      </w:r>
      <w:r w:rsidR="00B252DB" w:rsidRPr="00D335B3">
        <w:rPr>
          <w:rFonts w:ascii="Arial" w:hAnsi="Arial" w:cs="Arial"/>
          <w:b/>
          <w:noProof/>
          <w:color w:val="5F497A" w:themeColor="accent4" w:themeShade="BF"/>
          <w:sz w:val="22"/>
          <w:szCs w:val="22"/>
        </w:rPr>
        <w:t>iPhone</w:t>
      </w:r>
      <w:r w:rsidR="00716CFF">
        <w:rPr>
          <w:rFonts w:ascii="Arial" w:hAnsi="Arial" w:cs="Arial"/>
          <w:b/>
          <w:noProof/>
          <w:color w:val="5F497A" w:themeColor="accent4" w:themeShade="BF"/>
          <w:sz w:val="22"/>
          <w:szCs w:val="22"/>
        </w:rPr>
        <w:t xml:space="preserve"> &amp; </w:t>
      </w:r>
      <w:r w:rsidR="00B252DB" w:rsidRPr="00D335B3">
        <w:rPr>
          <w:rFonts w:ascii="Arial" w:hAnsi="Arial" w:cs="Arial"/>
          <w:b/>
          <w:noProof/>
          <w:color w:val="5F497A" w:themeColor="accent4" w:themeShade="BF"/>
          <w:sz w:val="22"/>
          <w:szCs w:val="22"/>
        </w:rPr>
        <w:t>Voice Dream app – ClaroPDF app</w:t>
      </w:r>
      <w:r w:rsidR="00D335B3">
        <w:rPr>
          <w:rFonts w:ascii="Arial" w:hAnsi="Arial" w:cs="Arial"/>
          <w:b/>
          <w:noProof/>
          <w:color w:val="5F497A" w:themeColor="accent4" w:themeShade="BF"/>
          <w:sz w:val="22"/>
          <w:szCs w:val="22"/>
        </w:rPr>
        <w:t xml:space="preserve"> P</w:t>
      </w:r>
      <w:r w:rsidR="00B252DB" w:rsidRPr="00D335B3">
        <w:rPr>
          <w:rFonts w:ascii="Arial" w:hAnsi="Arial" w:cs="Arial"/>
          <w:b/>
          <w:noProof/>
          <w:color w:val="5F497A" w:themeColor="accent4" w:themeShade="BF"/>
          <w:sz w:val="22"/>
          <w:szCs w:val="22"/>
        </w:rPr>
        <w:t>hoto to PDF</w:t>
      </w:r>
      <w:r w:rsidR="00D335B3">
        <w:rPr>
          <w:rFonts w:ascii="Arial" w:hAnsi="Arial" w:cs="Arial"/>
          <w:b/>
          <w:noProof/>
          <w:color w:val="5F497A" w:themeColor="accent4" w:themeShade="BF"/>
          <w:sz w:val="22"/>
          <w:szCs w:val="22"/>
        </w:rPr>
        <w:t xml:space="preserve"> </w:t>
      </w:r>
      <w:r w:rsidR="00716CFF">
        <w:rPr>
          <w:rFonts w:ascii="Arial" w:hAnsi="Arial" w:cs="Arial"/>
          <w:b/>
          <w:noProof/>
          <w:color w:val="5F497A" w:themeColor="accent4" w:themeShade="BF"/>
          <w:sz w:val="22"/>
          <w:szCs w:val="22"/>
        </w:rPr>
        <w:t xml:space="preserve">read aloud </w:t>
      </w:r>
    </w:p>
    <w:p w14:paraId="33D026CC" w14:textId="6036DA58" w:rsidR="00AA7A6A" w:rsidRPr="00DC177A" w:rsidRDefault="00716CFF" w:rsidP="00AA7A6A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E0927" wp14:editId="5442B847">
                <wp:simplePos x="0" y="0"/>
                <wp:positionH relativeFrom="column">
                  <wp:posOffset>2067560</wp:posOffset>
                </wp:positionH>
                <wp:positionV relativeFrom="paragraph">
                  <wp:posOffset>82550</wp:posOffset>
                </wp:positionV>
                <wp:extent cx="7263130" cy="31369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13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E2ED" w14:textId="47ACF13B" w:rsidR="00B252DB" w:rsidRPr="00D335B3" w:rsidRDefault="0006607C" w:rsidP="00AA7A6A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22"/>
                                <w:szCs w:val="22"/>
                              </w:rPr>
                            </w:pPr>
                            <w:r w:rsidRPr="00D335B3"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Chrome browser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2"/>
                                <w:szCs w:val="22"/>
                              </w:rPr>
                              <w:t xml:space="preserve"> with t</w:t>
                            </w:r>
                            <w:r w:rsidRPr="00D335B3"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ext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-</w:t>
                            </w:r>
                            <w:r w:rsidRPr="00D335B3"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-s</w:t>
                            </w:r>
                            <w:r w:rsidRPr="00D335B3"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peech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716CFF"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2"/>
                                <w:szCs w:val="22"/>
                              </w:rPr>
                              <w:t>Sara Reading Machine scans &amp; reads mail, recipes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E092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2.8pt;margin-top:6.5pt;width:571.9pt;height:2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" filled="f" stroked="f">
                <v:textbox>
                  <w:txbxContent>
                    <w:p w14:paraId="042AE2ED" w14:textId="47ACF13B" w:rsidR="00B252DB" w:rsidRPr="00D335B3" w:rsidRDefault="0006607C" w:rsidP="00AA7A6A">
                      <w:pPr>
                        <w:jc w:val="center"/>
                        <w:rPr>
                          <w:b/>
                          <w:color w:val="5F497A" w:themeColor="accent4" w:themeShade="BF"/>
                          <w:sz w:val="22"/>
                          <w:szCs w:val="22"/>
                        </w:rPr>
                      </w:pPr>
                      <w:r w:rsidRPr="00D335B3"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2"/>
                          <w:szCs w:val="22"/>
                        </w:rPr>
                        <w:t>Chrome browser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2"/>
                          <w:szCs w:val="22"/>
                        </w:rPr>
                        <w:t xml:space="preserve"> with t</w:t>
                      </w:r>
                      <w:r w:rsidRPr="00D335B3"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2"/>
                          <w:szCs w:val="22"/>
                        </w:rPr>
                        <w:t>ext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2"/>
                          <w:szCs w:val="22"/>
                        </w:rPr>
                        <w:t>-</w:t>
                      </w:r>
                      <w:r w:rsidRPr="00D335B3"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2"/>
                          <w:szCs w:val="22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2"/>
                          <w:szCs w:val="22"/>
                        </w:rPr>
                        <w:t>-s</w:t>
                      </w:r>
                      <w:r w:rsidRPr="00D335B3"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2"/>
                          <w:szCs w:val="22"/>
                        </w:rPr>
                        <w:t>peech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2"/>
                          <w:szCs w:val="22"/>
                        </w:rPr>
                        <w:t xml:space="preserve">; </w:t>
                      </w:r>
                      <w:r w:rsidR="00716CFF"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2"/>
                          <w:szCs w:val="22"/>
                        </w:rPr>
                        <w:t>Sara Reading Machine scans &amp; reads mail, recipes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A6A"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82E89" wp14:editId="28C3739B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CB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.5pt;margin-top:3.6pt;width:654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</w:p>
    <w:p w14:paraId="536D408B" w14:textId="75240417" w:rsidR="00AA7A6A" w:rsidRDefault="00AA7A6A" w:rsidP="00AA7A6A">
      <w:pPr>
        <w:rPr>
          <w:rFonts w:ascii="Arial" w:hAnsi="Arial" w:cs="Arial"/>
          <w:sz w:val="22"/>
          <w:szCs w:val="22"/>
        </w:rPr>
      </w:pPr>
    </w:p>
    <w:p w14:paraId="2151E592" w14:textId="435A1A58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DE0DA0B" w14:textId="473D6FEB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619C731" w14:textId="7DEBBE91" w:rsidR="00AA7A6A" w:rsidRPr="00DC177A" w:rsidRDefault="00AA7A6A" w:rsidP="00AA7A6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75FB6B8E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22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579"/>
        <w:gridCol w:w="1620"/>
        <w:gridCol w:w="1890"/>
        <w:gridCol w:w="1890"/>
        <w:gridCol w:w="2340"/>
      </w:tblGrid>
      <w:tr w:rsidR="00B252DB" w:rsidRPr="00DC177A" w14:paraId="5D46678D" w14:textId="77777777" w:rsidTr="00B252DB">
        <w:trPr>
          <w:cantSplit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5A0EBC" w14:textId="77777777" w:rsidR="00B252DB" w:rsidRPr="00DC177A" w:rsidRDefault="00B252DB" w:rsidP="00B25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F42EB8" w14:textId="77777777" w:rsidR="00B252DB" w:rsidRPr="00DC177A" w:rsidRDefault="00B252DB" w:rsidP="00B252DB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5C50BD9" wp14:editId="6364640A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7EA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18B11C51" w14:textId="77777777" w:rsidR="00B252DB" w:rsidRPr="00DC177A" w:rsidRDefault="00B252DB" w:rsidP="00B25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D98103D" w14:textId="4C2A894C" w:rsidR="00B252DB" w:rsidRPr="008142D2" w:rsidRDefault="00B252DB" w:rsidP="00F213A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2D2">
              <w:rPr>
                <w:rFonts w:ascii="Arial" w:hAnsi="Arial" w:cs="Arial"/>
                <w:sz w:val="22"/>
                <w:szCs w:val="22"/>
              </w:rPr>
              <w:t>Audio books and materials</w:t>
            </w:r>
          </w:p>
          <w:p w14:paraId="2DB3D292" w14:textId="77777777" w:rsidR="00B252DB" w:rsidRPr="008142D2" w:rsidRDefault="00B252DB" w:rsidP="00B252DB">
            <w:pPr>
              <w:pStyle w:val="ListParagraph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6A1FFC8" w14:textId="7B8052FE" w:rsidR="00B252DB" w:rsidRPr="008142D2" w:rsidRDefault="00B252DB" w:rsidP="0055153E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2D2">
              <w:rPr>
                <w:rFonts w:ascii="Arial" w:hAnsi="Arial" w:cs="Arial"/>
                <w:sz w:val="22"/>
                <w:szCs w:val="22"/>
              </w:rPr>
              <w:t xml:space="preserve">Easy to use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DE8634" w14:textId="7D929D21" w:rsidR="00B252DB" w:rsidRPr="008142D2" w:rsidRDefault="00B252DB" w:rsidP="0055153E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2D2">
              <w:rPr>
                <w:rFonts w:ascii="Arial" w:hAnsi="Arial" w:cs="Arial"/>
                <w:sz w:val="22"/>
                <w:szCs w:val="22"/>
              </w:rPr>
              <w:t>Synthetic speech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C54CE49" w14:textId="6E01648D" w:rsidR="00B252DB" w:rsidRPr="008142D2" w:rsidRDefault="00B252DB" w:rsidP="00F213AF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2D2">
              <w:rPr>
                <w:rFonts w:ascii="Arial" w:hAnsi="Arial" w:cs="Arial"/>
                <w:sz w:val="22"/>
                <w:szCs w:val="22"/>
              </w:rPr>
              <w:t xml:space="preserve">Human speech audio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7A7C2A" w14:textId="0DB0FEA3" w:rsidR="00B252DB" w:rsidRPr="008142D2" w:rsidRDefault="00B252DB" w:rsidP="00B252DB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2D2">
              <w:rPr>
                <w:rFonts w:ascii="Arial" w:hAnsi="Arial" w:cs="Arial"/>
                <w:sz w:val="22"/>
                <w:szCs w:val="22"/>
              </w:rPr>
              <w:t>Scanning device to read books, newspapers, mail aloud</w:t>
            </w:r>
          </w:p>
        </w:tc>
      </w:tr>
      <w:tr w:rsidR="00B252DB" w:rsidRPr="00DC177A" w14:paraId="1C1CBE6F" w14:textId="77777777" w:rsidTr="00B252DB">
        <w:trPr>
          <w:cantSplit/>
          <w:trHeight w:val="557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E0E0E0"/>
          </w:tcPr>
          <w:p w14:paraId="70FF66BC" w14:textId="4E14EE09" w:rsidR="00B252DB" w:rsidRPr="00DC177A" w:rsidRDefault="00B252DB" w:rsidP="00B252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D5EB62A" wp14:editId="557F3DA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A0B5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"/>
                  </w:pict>
                </mc:Fallback>
              </mc:AlternateContent>
            </w:r>
          </w:p>
          <w:p w14:paraId="11152453" w14:textId="77777777" w:rsidR="00B252DB" w:rsidRPr="00DC177A" w:rsidRDefault="00B252DB" w:rsidP="00B252DB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731F3886" w14:textId="77777777" w:rsidR="00B252DB" w:rsidRPr="00DC177A" w:rsidRDefault="00B252DB" w:rsidP="00B252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FC86B9D" w14:textId="77777777" w:rsidR="00B252DB" w:rsidRPr="00DC177A" w:rsidRDefault="00B252DB" w:rsidP="00B252D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6D50E20" w14:textId="77777777" w:rsidR="00B252DB" w:rsidRPr="00DC177A" w:rsidRDefault="00B252DB" w:rsidP="00B252D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68B9BEC" w14:textId="77777777" w:rsidR="00B252DB" w:rsidRPr="00DC177A" w:rsidRDefault="00B252DB" w:rsidP="00B252D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4E96C59" w14:textId="77777777" w:rsidR="00B252DB" w:rsidRPr="00DC177A" w:rsidRDefault="00B252DB" w:rsidP="00B252D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9EE7456" w14:textId="77777777" w:rsidR="00B252DB" w:rsidRPr="00DC177A" w:rsidRDefault="00B252DB" w:rsidP="00B252DB">
            <w:pPr>
              <w:rPr>
                <w:rFonts w:ascii="Arial" w:hAnsi="Arial" w:cs="Arial"/>
              </w:rPr>
            </w:pPr>
          </w:p>
        </w:tc>
      </w:tr>
      <w:tr w:rsidR="00B252DB" w:rsidRPr="00DC177A" w14:paraId="04BA84DD" w14:textId="77777777" w:rsidTr="00B252DB">
        <w:trPr>
          <w:cantSplit/>
          <w:trHeight w:val="629"/>
        </w:trPr>
        <w:tc>
          <w:tcPr>
            <w:tcW w:w="2898" w:type="dxa"/>
            <w:shd w:val="clear" w:color="auto" w:fill="E0E0E0"/>
          </w:tcPr>
          <w:p w14:paraId="2D242574" w14:textId="77777777" w:rsidR="00B252DB" w:rsidRDefault="00B252DB" w:rsidP="00B252DB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Smart device and app</w:t>
            </w:r>
          </w:p>
          <w:p w14:paraId="5F4536BE" w14:textId="1E8D867C" w:rsidR="00B252DB" w:rsidRPr="00DC177A" w:rsidRDefault="00B252DB" w:rsidP="00B25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(smartphone, iPod, iPad)</w:t>
            </w:r>
          </w:p>
        </w:tc>
        <w:tc>
          <w:tcPr>
            <w:tcW w:w="1579" w:type="dxa"/>
            <w:vAlign w:val="center"/>
          </w:tcPr>
          <w:p w14:paraId="7D5200BE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vAlign w:val="center"/>
          </w:tcPr>
          <w:p w14:paraId="4DF3848A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1230845E" w14:textId="3AF3764B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6A52C2A4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04020C23" w14:textId="4B3827C3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B252DB" w:rsidRPr="00DC177A" w14:paraId="09A1F509" w14:textId="77777777" w:rsidTr="00B252DB">
        <w:trPr>
          <w:cantSplit/>
          <w:trHeight w:val="782"/>
        </w:trPr>
        <w:tc>
          <w:tcPr>
            <w:tcW w:w="2898" w:type="dxa"/>
            <w:shd w:val="clear" w:color="auto" w:fill="E0E0E0"/>
          </w:tcPr>
          <w:p w14:paraId="0287D74C" w14:textId="3419D214" w:rsidR="00B252DB" w:rsidRPr="00DC177A" w:rsidRDefault="00B252DB" w:rsidP="00B252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Computer and updated browser (Chrome and extensions)</w:t>
            </w:r>
          </w:p>
        </w:tc>
        <w:tc>
          <w:tcPr>
            <w:tcW w:w="1579" w:type="dxa"/>
            <w:vAlign w:val="center"/>
          </w:tcPr>
          <w:p w14:paraId="305B3D40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vAlign w:val="center"/>
          </w:tcPr>
          <w:p w14:paraId="37499466" w14:textId="6EC9859C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1CCED6DD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46158C8A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43BD6313" w14:textId="45F8E481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</w:tr>
      <w:tr w:rsidR="00B252DB" w:rsidRPr="00DC177A" w14:paraId="7350724E" w14:textId="77777777" w:rsidTr="00B252DB">
        <w:trPr>
          <w:cantSplit/>
          <w:trHeight w:val="755"/>
        </w:trPr>
        <w:tc>
          <w:tcPr>
            <w:tcW w:w="2898" w:type="dxa"/>
            <w:shd w:val="clear" w:color="auto" w:fill="E0E0E0"/>
          </w:tcPr>
          <w:p w14:paraId="708F3BA5" w14:textId="2717BF16" w:rsidR="00B252DB" w:rsidRPr="00DC177A" w:rsidRDefault="00B252DB" w:rsidP="0055153E">
            <w:pPr>
              <w:rPr>
                <w:rFonts w:ascii="Arial" w:hAnsi="Arial" w:cs="Arial"/>
                <w:sz w:val="20"/>
                <w:szCs w:val="20"/>
              </w:rPr>
            </w:pPr>
            <w:r w:rsidRPr="00B252DB">
              <w:rPr>
                <w:rFonts w:ascii="Arial" w:hAnsi="Arial" w:cs="Arial"/>
                <w:b/>
                <w:color w:val="7030A0"/>
                <w:sz w:val="20"/>
                <w:szCs w:val="20"/>
              </w:rPr>
              <w:t>CD</w:t>
            </w:r>
            <w:r w:rsidR="00716CFF">
              <w:rPr>
                <w:rFonts w:ascii="Arial" w:hAnsi="Arial" w:cs="Arial"/>
                <w:b/>
                <w:color w:val="7030A0"/>
                <w:sz w:val="20"/>
                <w:szCs w:val="20"/>
              </w:rPr>
              <w:t>s and</w:t>
            </w:r>
            <w:r w:rsidRPr="00B252D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Player</w:t>
            </w:r>
          </w:p>
        </w:tc>
        <w:tc>
          <w:tcPr>
            <w:tcW w:w="1579" w:type="dxa"/>
            <w:vAlign w:val="center"/>
          </w:tcPr>
          <w:p w14:paraId="41F019B5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vAlign w:val="center"/>
          </w:tcPr>
          <w:p w14:paraId="33171CD5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18B9D652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2C5FD172" w14:textId="77777777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40" w:type="dxa"/>
            <w:vAlign w:val="center"/>
          </w:tcPr>
          <w:p w14:paraId="72F2CB17" w14:textId="2190AE1C" w:rsidR="00B252DB" w:rsidRPr="00DC177A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</w:tr>
      <w:tr w:rsidR="00B252DB" w:rsidRPr="00DC177A" w14:paraId="4DE2BC40" w14:textId="77777777" w:rsidTr="00B252DB">
        <w:trPr>
          <w:cantSplit/>
          <w:trHeight w:val="872"/>
        </w:trPr>
        <w:tc>
          <w:tcPr>
            <w:tcW w:w="2898" w:type="dxa"/>
            <w:shd w:val="clear" w:color="auto" w:fill="E0E0E0"/>
          </w:tcPr>
          <w:p w14:paraId="57DA7A3E" w14:textId="77777777" w:rsidR="00B252DB" w:rsidRDefault="00B252DB" w:rsidP="0055153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14:paraId="3BFA5884" w14:textId="5A7E09D4" w:rsidR="00B252DB" w:rsidRPr="00B252DB" w:rsidRDefault="00B252DB" w:rsidP="0055153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Scanner and voice output</w:t>
            </w:r>
          </w:p>
        </w:tc>
        <w:tc>
          <w:tcPr>
            <w:tcW w:w="1579" w:type="dxa"/>
            <w:vAlign w:val="center"/>
          </w:tcPr>
          <w:p w14:paraId="0E228185" w14:textId="01435FA4" w:rsidR="00B252DB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620" w:type="dxa"/>
            <w:vAlign w:val="center"/>
          </w:tcPr>
          <w:p w14:paraId="5CCF7C51" w14:textId="32E592CC" w:rsidR="00B252DB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1EE127B0" w14:textId="40E9D110" w:rsidR="00B252DB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890" w:type="dxa"/>
            <w:vAlign w:val="center"/>
          </w:tcPr>
          <w:p w14:paraId="3EBC52DE" w14:textId="77777777" w:rsidR="00B252DB" w:rsidRDefault="00B252DB" w:rsidP="00B25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14:paraId="59C3F6DF" w14:textId="1912EBE2" w:rsidR="00B252DB" w:rsidRDefault="00B252DB" w:rsidP="00B25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5411A2E0" w14:textId="2C2C86F8" w:rsidR="006C30E2" w:rsidRDefault="006C30E2" w:rsidP="008142D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32"/>
          <w:szCs w:val="32"/>
        </w:rPr>
      </w:pPr>
    </w:p>
    <w:sectPr w:rsidR="006C30E2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AEDCE" w14:textId="77777777" w:rsidR="00F10F80" w:rsidRDefault="00F10F80">
      <w:r>
        <w:separator/>
      </w:r>
    </w:p>
  </w:endnote>
  <w:endnote w:type="continuationSeparator" w:id="0">
    <w:p w14:paraId="01A0BF2E" w14:textId="77777777" w:rsidR="00F10F80" w:rsidRDefault="00F1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B252DB" w:rsidRDefault="00B252DB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B252DB" w:rsidRDefault="00B252DB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79D05F1B" w14:textId="3E007C83" w:rsidR="00B252DB" w:rsidRDefault="00B252DB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DB5E6" w14:textId="77777777" w:rsidR="00F10F80" w:rsidRDefault="00F10F80">
      <w:r>
        <w:separator/>
      </w:r>
    </w:p>
  </w:footnote>
  <w:footnote w:type="continuationSeparator" w:id="0">
    <w:p w14:paraId="2CD5E0E1" w14:textId="77777777" w:rsidR="00F10F80" w:rsidRDefault="00F1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17256402" w:rsidR="00B252DB" w:rsidRPr="00C51C8B" w:rsidRDefault="00B252DB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050D24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50D24"/>
    <w:rsid w:val="00064C4C"/>
    <w:rsid w:val="0006607C"/>
    <w:rsid w:val="000C214C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17C07"/>
    <w:rsid w:val="00345E62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A2CD8"/>
    <w:rsid w:val="0055153E"/>
    <w:rsid w:val="005919A3"/>
    <w:rsid w:val="00595C88"/>
    <w:rsid w:val="00631006"/>
    <w:rsid w:val="00641C52"/>
    <w:rsid w:val="006A06D0"/>
    <w:rsid w:val="006A4EEF"/>
    <w:rsid w:val="006B2FF1"/>
    <w:rsid w:val="006C30E2"/>
    <w:rsid w:val="006D49F6"/>
    <w:rsid w:val="00715456"/>
    <w:rsid w:val="00716CFF"/>
    <w:rsid w:val="0079544B"/>
    <w:rsid w:val="007A0C74"/>
    <w:rsid w:val="007A0F86"/>
    <w:rsid w:val="007A4D22"/>
    <w:rsid w:val="007B1B4D"/>
    <w:rsid w:val="007F74E5"/>
    <w:rsid w:val="008142D2"/>
    <w:rsid w:val="00843143"/>
    <w:rsid w:val="008E00B3"/>
    <w:rsid w:val="008E52AC"/>
    <w:rsid w:val="008F65D5"/>
    <w:rsid w:val="009270DA"/>
    <w:rsid w:val="00946599"/>
    <w:rsid w:val="009932B2"/>
    <w:rsid w:val="009C5AE4"/>
    <w:rsid w:val="00A16946"/>
    <w:rsid w:val="00A34D42"/>
    <w:rsid w:val="00A379A4"/>
    <w:rsid w:val="00AA7A6A"/>
    <w:rsid w:val="00AB3B9F"/>
    <w:rsid w:val="00B252DB"/>
    <w:rsid w:val="00BA497E"/>
    <w:rsid w:val="00BC1C73"/>
    <w:rsid w:val="00C344AE"/>
    <w:rsid w:val="00C3777B"/>
    <w:rsid w:val="00C51C8B"/>
    <w:rsid w:val="00C76272"/>
    <w:rsid w:val="00C86EFF"/>
    <w:rsid w:val="00CD4C29"/>
    <w:rsid w:val="00D335B3"/>
    <w:rsid w:val="00D57047"/>
    <w:rsid w:val="00DC177A"/>
    <w:rsid w:val="00DE2568"/>
    <w:rsid w:val="00DE53BA"/>
    <w:rsid w:val="00E3503A"/>
    <w:rsid w:val="00E444A4"/>
    <w:rsid w:val="00E746D1"/>
    <w:rsid w:val="00F10F80"/>
    <w:rsid w:val="00F13461"/>
    <w:rsid w:val="00F213AF"/>
    <w:rsid w:val="00F93FE1"/>
    <w:rsid w:val="00FA2EB7"/>
    <w:rsid w:val="00FA559C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30E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C3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2017-06-01T19:04:00Z</dcterms:created>
  <dcterms:modified xsi:type="dcterms:W3CDTF">2017-06-01T19:04:00Z</dcterms:modified>
</cp:coreProperties>
</file>